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0B" w:rsidRDefault="00801A0B">
      <w:pPr>
        <w:spacing w:line="240" w:lineRule="auto"/>
        <w:rPr>
          <w:sz w:val="24"/>
          <w:szCs w:val="24"/>
        </w:rPr>
      </w:pPr>
    </w:p>
    <w:p w:rsidR="00801A0B" w:rsidRDefault="00801A0B">
      <w:pPr>
        <w:spacing w:line="240" w:lineRule="auto"/>
        <w:rPr>
          <w:sz w:val="24"/>
          <w:szCs w:val="24"/>
        </w:rPr>
      </w:pPr>
    </w:p>
    <w:p w:rsidR="00801A0B" w:rsidRDefault="00801A0B">
      <w:pPr>
        <w:spacing w:line="240" w:lineRule="auto"/>
        <w:jc w:val="center"/>
        <w:rPr>
          <w:b/>
          <w:bCs/>
          <w:sz w:val="32"/>
          <w:szCs w:val="32"/>
        </w:rPr>
      </w:pPr>
    </w:p>
    <w:p w:rsidR="00801A0B" w:rsidRDefault="00801A0B">
      <w:pPr>
        <w:spacing w:line="240" w:lineRule="auto"/>
        <w:jc w:val="center"/>
        <w:rPr>
          <w:b/>
          <w:bCs/>
          <w:sz w:val="44"/>
          <w:szCs w:val="44"/>
        </w:rPr>
      </w:pPr>
    </w:p>
    <w:p w:rsidR="00C61397" w:rsidRDefault="00440DD7" w:rsidP="00C61397">
      <w:pPr>
        <w:spacing w:line="240" w:lineRule="auto"/>
        <w:rPr>
          <w:b/>
          <w:bCs/>
          <w:sz w:val="48"/>
          <w:szCs w:val="48"/>
        </w:rPr>
      </w:pPr>
      <w:r w:rsidRPr="00440DD7">
        <w:rPr>
          <w:b/>
          <w:bCs/>
          <w:sz w:val="48"/>
          <w:szCs w:val="48"/>
        </w:rPr>
        <w:t>A</w:t>
      </w:r>
      <w:r>
        <w:rPr>
          <w:b/>
          <w:bCs/>
          <w:sz w:val="48"/>
          <w:szCs w:val="48"/>
        </w:rPr>
        <w:t>ndalucía</w:t>
      </w:r>
      <w:r w:rsidRPr="00440DD7">
        <w:rPr>
          <w:b/>
          <w:bCs/>
          <w:sz w:val="48"/>
          <w:szCs w:val="48"/>
        </w:rPr>
        <w:t>, A</w:t>
      </w:r>
      <w:r>
        <w:rPr>
          <w:b/>
          <w:bCs/>
          <w:sz w:val="48"/>
          <w:szCs w:val="48"/>
        </w:rPr>
        <w:t xml:space="preserve">lentejo y </w:t>
      </w:r>
      <w:r w:rsidRPr="00440DD7">
        <w:rPr>
          <w:b/>
          <w:bCs/>
          <w:sz w:val="48"/>
          <w:szCs w:val="48"/>
        </w:rPr>
        <w:t>A</w:t>
      </w:r>
      <w:r>
        <w:rPr>
          <w:b/>
          <w:bCs/>
          <w:sz w:val="48"/>
          <w:szCs w:val="48"/>
        </w:rPr>
        <w:t xml:space="preserve">lgarve se unen para fomentar el comercio marítimo entre las pymes </w:t>
      </w:r>
      <w:r w:rsidR="00C61397">
        <w:rPr>
          <w:b/>
          <w:bCs/>
          <w:sz w:val="48"/>
          <w:szCs w:val="48"/>
        </w:rPr>
        <w:t xml:space="preserve"> </w:t>
      </w:r>
    </w:p>
    <w:p w:rsidR="00C61397" w:rsidRDefault="00C61397">
      <w:pPr>
        <w:spacing w:line="240" w:lineRule="auto"/>
        <w:jc w:val="center"/>
        <w:rPr>
          <w:b/>
          <w:bCs/>
          <w:sz w:val="48"/>
          <w:szCs w:val="48"/>
        </w:rPr>
      </w:pPr>
    </w:p>
    <w:p w:rsidR="00C61397" w:rsidRPr="0093114C" w:rsidRDefault="00C61397" w:rsidP="00C61397">
      <w:pPr>
        <w:spacing w:line="240" w:lineRule="auto"/>
        <w:rPr>
          <w:b/>
          <w:bCs/>
          <w:sz w:val="28"/>
          <w:szCs w:val="36"/>
        </w:rPr>
      </w:pPr>
    </w:p>
    <w:p w:rsidR="002C4418" w:rsidRPr="0093114C" w:rsidRDefault="002C4418" w:rsidP="00C61397">
      <w:pPr>
        <w:spacing w:line="240" w:lineRule="auto"/>
        <w:rPr>
          <w:bCs/>
          <w:i/>
          <w:sz w:val="28"/>
          <w:szCs w:val="36"/>
        </w:rPr>
      </w:pPr>
      <w:r w:rsidRPr="0093114C">
        <w:rPr>
          <w:bCs/>
          <w:i/>
          <w:sz w:val="28"/>
          <w:szCs w:val="36"/>
        </w:rPr>
        <w:t>-</w:t>
      </w:r>
      <w:r w:rsidR="00C61397" w:rsidRPr="0093114C">
        <w:rPr>
          <w:bCs/>
          <w:i/>
          <w:sz w:val="28"/>
          <w:szCs w:val="36"/>
        </w:rPr>
        <w:t>-</w:t>
      </w:r>
      <w:r w:rsidR="007C40A8" w:rsidRPr="0093114C">
        <w:rPr>
          <w:bCs/>
          <w:i/>
          <w:sz w:val="28"/>
          <w:szCs w:val="36"/>
        </w:rPr>
        <w:t xml:space="preserve">Primer encuentro en </w:t>
      </w:r>
      <w:r w:rsidR="00E26ED1" w:rsidRPr="0093114C">
        <w:rPr>
          <w:bCs/>
          <w:i/>
          <w:sz w:val="28"/>
          <w:szCs w:val="36"/>
        </w:rPr>
        <w:t xml:space="preserve">Sevilla </w:t>
      </w:r>
      <w:r w:rsidR="007C40A8" w:rsidRPr="0093114C">
        <w:rPr>
          <w:bCs/>
          <w:i/>
          <w:sz w:val="28"/>
          <w:szCs w:val="36"/>
        </w:rPr>
        <w:t>de los ben</w:t>
      </w:r>
      <w:r w:rsidR="00E26ED1" w:rsidRPr="0093114C">
        <w:rPr>
          <w:bCs/>
          <w:i/>
          <w:sz w:val="28"/>
          <w:szCs w:val="36"/>
        </w:rPr>
        <w:t>eficiarios del proyecto FOCOMAR</w:t>
      </w:r>
      <w:r w:rsidR="00F27786" w:rsidRPr="0093114C">
        <w:rPr>
          <w:bCs/>
          <w:i/>
          <w:sz w:val="28"/>
          <w:szCs w:val="36"/>
        </w:rPr>
        <w:t xml:space="preserve"> tra</w:t>
      </w:r>
      <w:r w:rsidR="004A627A">
        <w:rPr>
          <w:bCs/>
          <w:i/>
          <w:sz w:val="28"/>
          <w:szCs w:val="36"/>
        </w:rPr>
        <w:t>n</w:t>
      </w:r>
      <w:bookmarkStart w:id="0" w:name="_GoBack"/>
      <w:bookmarkEnd w:id="0"/>
      <w:r w:rsidR="00F27786" w:rsidRPr="0093114C">
        <w:rPr>
          <w:bCs/>
          <w:i/>
          <w:sz w:val="28"/>
          <w:szCs w:val="36"/>
        </w:rPr>
        <w:t>sfronterizo con Portugal</w:t>
      </w:r>
    </w:p>
    <w:p w:rsidR="002C4418" w:rsidRPr="0093114C" w:rsidRDefault="002C4418" w:rsidP="00C61397">
      <w:pPr>
        <w:spacing w:line="240" w:lineRule="auto"/>
        <w:rPr>
          <w:bCs/>
          <w:i/>
          <w:sz w:val="28"/>
          <w:szCs w:val="36"/>
        </w:rPr>
      </w:pPr>
    </w:p>
    <w:p w:rsidR="00E26ED1" w:rsidRPr="0093114C" w:rsidRDefault="002C4418" w:rsidP="00C61397">
      <w:pPr>
        <w:spacing w:line="240" w:lineRule="auto"/>
        <w:rPr>
          <w:bCs/>
          <w:i/>
          <w:sz w:val="28"/>
          <w:szCs w:val="36"/>
        </w:rPr>
      </w:pPr>
      <w:r w:rsidRPr="0093114C">
        <w:rPr>
          <w:bCs/>
          <w:i/>
          <w:sz w:val="28"/>
          <w:szCs w:val="36"/>
        </w:rPr>
        <w:t xml:space="preserve">--El </w:t>
      </w:r>
      <w:r w:rsidR="00E26ED1" w:rsidRPr="0093114C">
        <w:rPr>
          <w:bCs/>
          <w:i/>
          <w:sz w:val="28"/>
          <w:szCs w:val="36"/>
        </w:rPr>
        <w:t xml:space="preserve">principal </w:t>
      </w:r>
      <w:r w:rsidRPr="0093114C">
        <w:rPr>
          <w:bCs/>
          <w:i/>
          <w:sz w:val="28"/>
          <w:szCs w:val="36"/>
        </w:rPr>
        <w:t xml:space="preserve">objetivo es </w:t>
      </w:r>
      <w:proofErr w:type="spellStart"/>
      <w:r w:rsidR="00E26ED1" w:rsidRPr="0093114C">
        <w:rPr>
          <w:b/>
          <w:bCs/>
          <w:i/>
          <w:sz w:val="28"/>
          <w:szCs w:val="36"/>
        </w:rPr>
        <w:t>FO</w:t>
      </w:r>
      <w:r w:rsidR="00E26ED1" w:rsidRPr="0093114C">
        <w:rPr>
          <w:bCs/>
          <w:i/>
          <w:sz w:val="28"/>
          <w:szCs w:val="36"/>
        </w:rPr>
        <w:t>mentar</w:t>
      </w:r>
      <w:proofErr w:type="spellEnd"/>
      <w:r w:rsidR="00E26ED1" w:rsidRPr="0093114C">
        <w:rPr>
          <w:bCs/>
          <w:i/>
          <w:sz w:val="28"/>
          <w:szCs w:val="36"/>
        </w:rPr>
        <w:t xml:space="preserve"> el </w:t>
      </w:r>
      <w:proofErr w:type="spellStart"/>
      <w:r w:rsidR="00E26ED1" w:rsidRPr="0093114C">
        <w:rPr>
          <w:b/>
          <w:bCs/>
          <w:i/>
          <w:sz w:val="28"/>
          <w:szCs w:val="36"/>
        </w:rPr>
        <w:t>CO</w:t>
      </w:r>
      <w:r w:rsidR="00E26ED1" w:rsidRPr="0093114C">
        <w:rPr>
          <w:bCs/>
          <w:i/>
          <w:sz w:val="28"/>
          <w:szCs w:val="36"/>
        </w:rPr>
        <w:t>mercio</w:t>
      </w:r>
      <w:proofErr w:type="spellEnd"/>
      <w:r w:rsidR="00E26ED1" w:rsidRPr="0093114C">
        <w:rPr>
          <w:bCs/>
          <w:i/>
          <w:sz w:val="28"/>
          <w:szCs w:val="36"/>
        </w:rPr>
        <w:t xml:space="preserve"> </w:t>
      </w:r>
      <w:proofErr w:type="spellStart"/>
      <w:r w:rsidR="00E26ED1" w:rsidRPr="0093114C">
        <w:rPr>
          <w:b/>
          <w:bCs/>
          <w:i/>
          <w:sz w:val="28"/>
          <w:szCs w:val="36"/>
        </w:rPr>
        <w:t>MA</w:t>
      </w:r>
      <w:r w:rsidR="00E26ED1" w:rsidRPr="0093114C">
        <w:rPr>
          <w:bCs/>
          <w:i/>
          <w:sz w:val="28"/>
          <w:szCs w:val="36"/>
        </w:rPr>
        <w:t>rítimo</w:t>
      </w:r>
      <w:proofErr w:type="spellEnd"/>
      <w:r w:rsidR="00E26ED1" w:rsidRPr="0093114C">
        <w:rPr>
          <w:bCs/>
          <w:i/>
          <w:sz w:val="28"/>
          <w:szCs w:val="36"/>
        </w:rPr>
        <w:t xml:space="preserve"> de las Pymes, fortaleciendo la cooperación entre </w:t>
      </w:r>
      <w:r w:rsidR="005F59B1" w:rsidRPr="0093114C">
        <w:rPr>
          <w:bCs/>
          <w:i/>
          <w:sz w:val="28"/>
          <w:szCs w:val="36"/>
        </w:rPr>
        <w:t>p</w:t>
      </w:r>
      <w:r w:rsidR="00E26ED1" w:rsidRPr="0093114C">
        <w:rPr>
          <w:bCs/>
          <w:i/>
          <w:sz w:val="28"/>
          <w:szCs w:val="36"/>
        </w:rPr>
        <w:t xml:space="preserve">uertos y </w:t>
      </w:r>
      <w:r w:rsidR="005F59B1" w:rsidRPr="0093114C">
        <w:rPr>
          <w:bCs/>
          <w:i/>
          <w:sz w:val="28"/>
          <w:szCs w:val="36"/>
        </w:rPr>
        <w:t>e</w:t>
      </w:r>
      <w:r w:rsidR="00E26ED1" w:rsidRPr="0093114C">
        <w:rPr>
          <w:bCs/>
          <w:i/>
          <w:sz w:val="28"/>
          <w:szCs w:val="36"/>
        </w:rPr>
        <w:t>mpresas</w:t>
      </w:r>
    </w:p>
    <w:p w:rsidR="00E26ED1" w:rsidRDefault="00E26ED1" w:rsidP="00C61397">
      <w:pPr>
        <w:spacing w:line="240" w:lineRule="auto"/>
        <w:rPr>
          <w:bCs/>
          <w:i/>
          <w:sz w:val="36"/>
          <w:szCs w:val="36"/>
        </w:rPr>
      </w:pPr>
    </w:p>
    <w:p w:rsidR="00801A0B" w:rsidRDefault="00801A0B">
      <w:pPr>
        <w:spacing w:line="240" w:lineRule="auto"/>
        <w:rPr>
          <w:sz w:val="32"/>
          <w:szCs w:val="32"/>
        </w:rPr>
      </w:pPr>
    </w:p>
    <w:p w:rsidR="00440DD7" w:rsidRPr="0093114C" w:rsidRDefault="00A12742" w:rsidP="00440DD7">
      <w:pPr>
        <w:spacing w:line="240" w:lineRule="auto"/>
        <w:rPr>
          <w:sz w:val="28"/>
          <w:szCs w:val="32"/>
        </w:rPr>
      </w:pPr>
      <w:r w:rsidRPr="0093114C">
        <w:rPr>
          <w:color w:val="C00000"/>
          <w:sz w:val="28"/>
          <w:szCs w:val="32"/>
        </w:rPr>
        <w:t xml:space="preserve">Andalucía. </w:t>
      </w:r>
      <w:r w:rsidR="0093114C">
        <w:rPr>
          <w:color w:val="C00000"/>
          <w:sz w:val="28"/>
          <w:szCs w:val="32"/>
        </w:rPr>
        <w:t>26</w:t>
      </w:r>
      <w:r w:rsidRPr="0093114C">
        <w:rPr>
          <w:color w:val="C00000"/>
          <w:sz w:val="28"/>
          <w:szCs w:val="32"/>
        </w:rPr>
        <w:t>/</w:t>
      </w:r>
      <w:r w:rsidR="007D66C9" w:rsidRPr="0093114C">
        <w:rPr>
          <w:color w:val="C00000"/>
          <w:sz w:val="28"/>
          <w:szCs w:val="32"/>
        </w:rPr>
        <w:t>1</w:t>
      </w:r>
      <w:r w:rsidRPr="0093114C">
        <w:rPr>
          <w:color w:val="C00000"/>
          <w:sz w:val="28"/>
          <w:szCs w:val="32"/>
        </w:rPr>
        <w:t>0/1</w:t>
      </w:r>
      <w:r w:rsidR="007D66C9" w:rsidRPr="0093114C">
        <w:rPr>
          <w:color w:val="C00000"/>
          <w:sz w:val="28"/>
          <w:szCs w:val="32"/>
        </w:rPr>
        <w:t>7</w:t>
      </w:r>
      <w:r w:rsidRPr="0093114C">
        <w:rPr>
          <w:sz w:val="28"/>
          <w:szCs w:val="32"/>
        </w:rPr>
        <w:t xml:space="preserve">. </w:t>
      </w:r>
      <w:r w:rsidR="002C14A0" w:rsidRPr="0093114C">
        <w:rPr>
          <w:sz w:val="28"/>
          <w:szCs w:val="32"/>
        </w:rPr>
        <w:t xml:space="preserve">El </w:t>
      </w:r>
      <w:r w:rsidR="00440DD7" w:rsidRPr="0093114C">
        <w:rPr>
          <w:sz w:val="28"/>
          <w:szCs w:val="32"/>
        </w:rPr>
        <w:t>Consejo Andaluz de Cámaras de Comercio, Industria y Navegación albergó en sus instalaciones la primera reunión de socios del proyecto FOCOMAR tras su reciente aprobación por parte de la Autoridad de Gestión del Programa POCTEP</w:t>
      </w:r>
      <w:r w:rsidR="006A7171" w:rsidRPr="0093114C">
        <w:rPr>
          <w:sz w:val="28"/>
          <w:szCs w:val="32"/>
        </w:rPr>
        <w:t xml:space="preserve"> (Proyecto transfronterizo enmarcado en el Programa INTERREG V-A España – Portugal)</w:t>
      </w:r>
      <w:r w:rsidR="00440DD7" w:rsidRPr="0093114C">
        <w:rPr>
          <w:sz w:val="28"/>
          <w:szCs w:val="32"/>
        </w:rPr>
        <w:t>.</w:t>
      </w:r>
    </w:p>
    <w:p w:rsidR="006A7171" w:rsidRPr="0093114C" w:rsidRDefault="006A7171" w:rsidP="00440DD7">
      <w:pPr>
        <w:spacing w:line="240" w:lineRule="auto"/>
        <w:rPr>
          <w:sz w:val="28"/>
          <w:szCs w:val="32"/>
        </w:rPr>
      </w:pPr>
    </w:p>
    <w:p w:rsidR="00440DD7" w:rsidRPr="0093114C" w:rsidRDefault="00440DD7" w:rsidP="0093114C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 xml:space="preserve">FOCOMAR cuenta con un </w:t>
      </w:r>
      <w:proofErr w:type="spellStart"/>
      <w:r w:rsidRPr="0093114C">
        <w:rPr>
          <w:sz w:val="28"/>
          <w:szCs w:val="32"/>
        </w:rPr>
        <w:t>partenariado</w:t>
      </w:r>
      <w:proofErr w:type="spellEnd"/>
      <w:r w:rsidRPr="0093114C">
        <w:rPr>
          <w:sz w:val="28"/>
          <w:szCs w:val="32"/>
        </w:rPr>
        <w:t xml:space="preserve"> capacitado y con amplia experiencia en la ejecución de proyectos con financiación europea. Lidera el proyecto el Consejo Andaluz de Cámaras como Beneficiario Principal junto con </w:t>
      </w:r>
      <w:proofErr w:type="spellStart"/>
      <w:r w:rsidRPr="0093114C">
        <w:rPr>
          <w:sz w:val="28"/>
          <w:szCs w:val="32"/>
        </w:rPr>
        <w:t>Sines</w:t>
      </w:r>
      <w:proofErr w:type="spellEnd"/>
      <w:r w:rsidRPr="0093114C">
        <w:rPr>
          <w:sz w:val="28"/>
          <w:szCs w:val="32"/>
        </w:rPr>
        <w:t xml:space="preserve"> </w:t>
      </w:r>
      <w:proofErr w:type="spellStart"/>
      <w:r w:rsidRPr="0093114C">
        <w:rPr>
          <w:sz w:val="28"/>
          <w:szCs w:val="32"/>
        </w:rPr>
        <w:t>Tecnopolo</w:t>
      </w:r>
      <w:proofErr w:type="spellEnd"/>
      <w:r w:rsidR="00F27786" w:rsidRPr="0093114C">
        <w:rPr>
          <w:sz w:val="28"/>
          <w:szCs w:val="32"/>
        </w:rPr>
        <w:t xml:space="preserve"> y las </w:t>
      </w:r>
      <w:r w:rsidRPr="0093114C">
        <w:rPr>
          <w:sz w:val="28"/>
          <w:szCs w:val="32"/>
        </w:rPr>
        <w:t>Cámara</w:t>
      </w:r>
      <w:r w:rsidR="00F27786" w:rsidRPr="0093114C">
        <w:rPr>
          <w:sz w:val="28"/>
          <w:szCs w:val="32"/>
        </w:rPr>
        <w:t>s</w:t>
      </w:r>
      <w:r w:rsidRPr="0093114C">
        <w:rPr>
          <w:sz w:val="28"/>
          <w:szCs w:val="32"/>
        </w:rPr>
        <w:t xml:space="preserve"> de Comercio de Huelva,</w:t>
      </w:r>
      <w:r w:rsidR="00F27786" w:rsidRPr="0093114C">
        <w:rPr>
          <w:sz w:val="28"/>
          <w:szCs w:val="32"/>
        </w:rPr>
        <w:t xml:space="preserve"> </w:t>
      </w:r>
      <w:r w:rsidRPr="0093114C">
        <w:rPr>
          <w:sz w:val="28"/>
          <w:szCs w:val="32"/>
        </w:rPr>
        <w:t xml:space="preserve">Sevilla, Campo de Gibraltar, </w:t>
      </w:r>
      <w:r w:rsidR="00F27786" w:rsidRPr="0093114C">
        <w:rPr>
          <w:sz w:val="28"/>
          <w:szCs w:val="32"/>
        </w:rPr>
        <w:t xml:space="preserve">Jerez de la Frontera, y </w:t>
      </w:r>
      <w:proofErr w:type="spellStart"/>
      <w:r w:rsidR="00F27786" w:rsidRPr="0093114C">
        <w:rPr>
          <w:sz w:val="28"/>
          <w:szCs w:val="32"/>
        </w:rPr>
        <w:t>Ayamonte</w:t>
      </w:r>
      <w:proofErr w:type="spellEnd"/>
      <w:r w:rsidR="00F27786" w:rsidRPr="0093114C">
        <w:rPr>
          <w:sz w:val="28"/>
          <w:szCs w:val="32"/>
        </w:rPr>
        <w:t xml:space="preserve">, además de la </w:t>
      </w:r>
      <w:r w:rsidRPr="0093114C">
        <w:rPr>
          <w:sz w:val="28"/>
          <w:szCs w:val="32"/>
        </w:rPr>
        <w:t xml:space="preserve">Fundación Bahía de Cádiz para el Desarrollo Económico, Confederación de Empresarios de Cádiz,  Agencia de Innovación y Desarrollo de Andalucía IDEA y APS </w:t>
      </w:r>
      <w:r w:rsidR="00A62B11" w:rsidRPr="0093114C">
        <w:rPr>
          <w:sz w:val="28"/>
          <w:szCs w:val="32"/>
        </w:rPr>
        <w:t>–</w:t>
      </w:r>
      <w:r w:rsidRPr="0093114C">
        <w:rPr>
          <w:sz w:val="28"/>
          <w:szCs w:val="32"/>
        </w:rPr>
        <w:t xml:space="preserve"> </w:t>
      </w:r>
      <w:r w:rsidR="00A62B11" w:rsidRPr="0093114C">
        <w:rPr>
          <w:sz w:val="28"/>
          <w:szCs w:val="32"/>
        </w:rPr>
        <w:t xml:space="preserve">y </w:t>
      </w:r>
      <w:proofErr w:type="spellStart"/>
      <w:r w:rsidRPr="0093114C">
        <w:rPr>
          <w:sz w:val="28"/>
          <w:szCs w:val="32"/>
        </w:rPr>
        <w:t>Administração</w:t>
      </w:r>
      <w:proofErr w:type="spellEnd"/>
      <w:r w:rsidRPr="0093114C">
        <w:rPr>
          <w:sz w:val="28"/>
          <w:szCs w:val="32"/>
        </w:rPr>
        <w:t xml:space="preserve"> dos </w:t>
      </w:r>
      <w:proofErr w:type="spellStart"/>
      <w:r w:rsidRPr="0093114C">
        <w:rPr>
          <w:sz w:val="28"/>
          <w:szCs w:val="32"/>
        </w:rPr>
        <w:t>Portos</w:t>
      </w:r>
      <w:proofErr w:type="spellEnd"/>
      <w:r w:rsidRPr="0093114C">
        <w:rPr>
          <w:sz w:val="28"/>
          <w:szCs w:val="32"/>
        </w:rPr>
        <w:t xml:space="preserve"> de </w:t>
      </w:r>
      <w:proofErr w:type="spellStart"/>
      <w:r w:rsidRPr="0093114C">
        <w:rPr>
          <w:sz w:val="28"/>
          <w:szCs w:val="32"/>
        </w:rPr>
        <w:t>Sines</w:t>
      </w:r>
      <w:proofErr w:type="spellEnd"/>
      <w:r w:rsidRPr="0093114C">
        <w:rPr>
          <w:sz w:val="28"/>
          <w:szCs w:val="32"/>
        </w:rPr>
        <w:t xml:space="preserve"> e do Algarve, S.A.,</w:t>
      </w:r>
    </w:p>
    <w:p w:rsidR="00A62B11" w:rsidRPr="0093114C" w:rsidRDefault="00A62B11" w:rsidP="00440DD7">
      <w:pPr>
        <w:spacing w:line="240" w:lineRule="auto"/>
        <w:rPr>
          <w:sz w:val="28"/>
          <w:szCs w:val="32"/>
        </w:rPr>
      </w:pPr>
    </w:p>
    <w:p w:rsidR="0093114C" w:rsidRDefault="00440DD7" w:rsidP="00440DD7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 xml:space="preserve">La economía azul representa en Europa 5,4 millones de puestos de trabajo y un valor añadido bruto de casi 500.000 millones de euros al año. En este contexto, el proyecto pondrá el foco en las grandes oportunidades que los puertos y sus áreas logísticas ofrecen a las pymes para mejorar su competitividad y con ello fomentar </w:t>
      </w:r>
      <w:r w:rsidR="00A62B11" w:rsidRPr="0093114C">
        <w:rPr>
          <w:sz w:val="28"/>
          <w:szCs w:val="32"/>
        </w:rPr>
        <w:t xml:space="preserve">el </w:t>
      </w:r>
    </w:p>
    <w:p w:rsidR="0093114C" w:rsidRDefault="0093114C" w:rsidP="00440DD7">
      <w:pPr>
        <w:spacing w:line="240" w:lineRule="auto"/>
        <w:rPr>
          <w:sz w:val="28"/>
          <w:szCs w:val="32"/>
        </w:rPr>
      </w:pPr>
    </w:p>
    <w:p w:rsidR="0093114C" w:rsidRDefault="0093114C" w:rsidP="00440DD7">
      <w:pPr>
        <w:spacing w:line="240" w:lineRule="auto"/>
        <w:rPr>
          <w:sz w:val="28"/>
          <w:szCs w:val="32"/>
        </w:rPr>
      </w:pPr>
    </w:p>
    <w:p w:rsidR="0093114C" w:rsidRDefault="0093114C" w:rsidP="00440DD7">
      <w:pPr>
        <w:spacing w:line="240" w:lineRule="auto"/>
        <w:rPr>
          <w:sz w:val="28"/>
          <w:szCs w:val="32"/>
        </w:rPr>
      </w:pPr>
    </w:p>
    <w:p w:rsidR="00AF347E" w:rsidRPr="0093114C" w:rsidRDefault="00440DD7" w:rsidP="00440DD7">
      <w:pPr>
        <w:spacing w:line="240" w:lineRule="auto"/>
        <w:rPr>
          <w:sz w:val="28"/>
          <w:szCs w:val="32"/>
        </w:rPr>
      </w:pPr>
      <w:proofErr w:type="gramStart"/>
      <w:r w:rsidRPr="0093114C">
        <w:rPr>
          <w:sz w:val="28"/>
          <w:szCs w:val="32"/>
        </w:rPr>
        <w:t>desarrollo</w:t>
      </w:r>
      <w:proofErr w:type="gramEnd"/>
      <w:r w:rsidRPr="0093114C">
        <w:rPr>
          <w:sz w:val="28"/>
          <w:szCs w:val="32"/>
        </w:rPr>
        <w:t xml:space="preserve"> económico (el llamado crecimiento azul) de las regiones implicadas. </w:t>
      </w:r>
    </w:p>
    <w:p w:rsidR="00AF347E" w:rsidRPr="0093114C" w:rsidRDefault="00AF347E" w:rsidP="00440DD7">
      <w:pPr>
        <w:spacing w:line="240" w:lineRule="auto"/>
        <w:rPr>
          <w:sz w:val="28"/>
          <w:szCs w:val="32"/>
        </w:rPr>
      </w:pPr>
    </w:p>
    <w:p w:rsidR="00440DD7" w:rsidRPr="0093114C" w:rsidRDefault="00440DD7" w:rsidP="00440DD7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>En este sentido, el proyecto FOCOMAR se centra en potenciar la relación entre pymes y espacios portuarios para que ambos formen parte de las cadenas logísticas de producción, transporte y distribución, y para que los puertos no desarrollen sus actividades como un eslabón independiente y ajeno al tejido empresarial.</w:t>
      </w:r>
    </w:p>
    <w:p w:rsidR="00AF347E" w:rsidRPr="0093114C" w:rsidRDefault="00AF347E" w:rsidP="00440DD7">
      <w:pPr>
        <w:spacing w:line="240" w:lineRule="auto"/>
        <w:rPr>
          <w:sz w:val="28"/>
          <w:szCs w:val="32"/>
        </w:rPr>
      </w:pPr>
    </w:p>
    <w:p w:rsidR="00440DD7" w:rsidRPr="0093114C" w:rsidRDefault="00440DD7" w:rsidP="00440DD7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>El proyecto FOCOMAR contribuirá</w:t>
      </w:r>
      <w:r w:rsidR="00AF347E" w:rsidRPr="0093114C">
        <w:rPr>
          <w:sz w:val="28"/>
          <w:szCs w:val="32"/>
        </w:rPr>
        <w:t xml:space="preserve">, asimismo, </w:t>
      </w:r>
      <w:r w:rsidRPr="0093114C">
        <w:rPr>
          <w:sz w:val="28"/>
          <w:szCs w:val="32"/>
        </w:rPr>
        <w:t>a afrontar algunos de los principales retos y a aprovechar las grandes oportunidades que brinda el área de cooperación al que se dirige, y que comprende las regiones periféricas de Alentejo y Algarve</w:t>
      </w:r>
      <w:r w:rsidR="00AF347E" w:rsidRPr="0093114C">
        <w:rPr>
          <w:sz w:val="28"/>
          <w:szCs w:val="32"/>
        </w:rPr>
        <w:t>,</w:t>
      </w:r>
      <w:r w:rsidRPr="0093114C">
        <w:rPr>
          <w:sz w:val="28"/>
          <w:szCs w:val="32"/>
        </w:rPr>
        <w:t xml:space="preserve"> en Portugal</w:t>
      </w:r>
      <w:r w:rsidR="00AF347E" w:rsidRPr="0093114C">
        <w:rPr>
          <w:sz w:val="28"/>
          <w:szCs w:val="32"/>
        </w:rPr>
        <w:t>,</w:t>
      </w:r>
      <w:r w:rsidRPr="0093114C">
        <w:rPr>
          <w:sz w:val="28"/>
          <w:szCs w:val="32"/>
        </w:rPr>
        <w:t xml:space="preserve"> y Andalucía en España. </w:t>
      </w:r>
      <w:r w:rsidR="00AF347E" w:rsidRPr="0093114C">
        <w:rPr>
          <w:sz w:val="28"/>
          <w:szCs w:val="32"/>
        </w:rPr>
        <w:t xml:space="preserve">En concreto, dos objetivos fundamentales: </w:t>
      </w:r>
    </w:p>
    <w:p w:rsidR="00AF347E" w:rsidRPr="0093114C" w:rsidRDefault="00AF347E" w:rsidP="00440DD7">
      <w:pPr>
        <w:spacing w:line="240" w:lineRule="auto"/>
        <w:rPr>
          <w:sz w:val="28"/>
          <w:szCs w:val="32"/>
        </w:rPr>
      </w:pPr>
    </w:p>
    <w:p w:rsidR="00440DD7" w:rsidRPr="0093114C" w:rsidRDefault="00440DD7" w:rsidP="00440DD7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>a)</w:t>
      </w:r>
      <w:r w:rsidRPr="0093114C">
        <w:rPr>
          <w:sz w:val="28"/>
          <w:szCs w:val="32"/>
        </w:rPr>
        <w:tab/>
        <w:t xml:space="preserve">Convertir a las regiones que componen el área de cooperación (Andalucía, Alentejo y Algarve) en </w:t>
      </w:r>
      <w:r w:rsidR="00FF3091" w:rsidRPr="0093114C">
        <w:rPr>
          <w:sz w:val="28"/>
          <w:szCs w:val="32"/>
        </w:rPr>
        <w:t xml:space="preserve">zonas </w:t>
      </w:r>
      <w:r w:rsidRPr="0093114C">
        <w:rPr>
          <w:sz w:val="28"/>
          <w:szCs w:val="32"/>
        </w:rPr>
        <w:t xml:space="preserve">de referencia </w:t>
      </w:r>
      <w:r w:rsidR="003C7D37" w:rsidRPr="0093114C">
        <w:rPr>
          <w:sz w:val="28"/>
          <w:szCs w:val="32"/>
        </w:rPr>
        <w:t>d</w:t>
      </w:r>
      <w:r w:rsidRPr="0093114C">
        <w:rPr>
          <w:sz w:val="28"/>
          <w:szCs w:val="32"/>
        </w:rPr>
        <w:t>e proyectos de investigación, experimentación, demostración y transferencia tecnológica en el ámbito de la logística.</w:t>
      </w:r>
    </w:p>
    <w:p w:rsidR="00AF347E" w:rsidRPr="0093114C" w:rsidRDefault="00AF347E" w:rsidP="00440DD7">
      <w:pPr>
        <w:spacing w:line="240" w:lineRule="auto"/>
        <w:rPr>
          <w:sz w:val="28"/>
          <w:szCs w:val="32"/>
        </w:rPr>
      </w:pPr>
    </w:p>
    <w:p w:rsidR="00440DD7" w:rsidRPr="0093114C" w:rsidRDefault="00440DD7" w:rsidP="00440DD7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>b)</w:t>
      </w:r>
      <w:r w:rsidRPr="0093114C">
        <w:rPr>
          <w:sz w:val="28"/>
          <w:szCs w:val="32"/>
        </w:rPr>
        <w:tab/>
        <w:t>Lograr que la innovación contribuya decisivamente a convertir en una realidad el potencial geoestratégico a través de la logística integral, tanto para favorecer la exportación de productos, como para inducir actividades económicas ligadas a las cadenas logísticas nacionales e internacionales.</w:t>
      </w:r>
    </w:p>
    <w:p w:rsidR="00AF347E" w:rsidRPr="0093114C" w:rsidRDefault="00AF347E" w:rsidP="00440DD7">
      <w:pPr>
        <w:spacing w:line="240" w:lineRule="auto"/>
        <w:rPr>
          <w:sz w:val="28"/>
          <w:szCs w:val="32"/>
        </w:rPr>
      </w:pPr>
    </w:p>
    <w:p w:rsidR="0057634B" w:rsidRPr="0093114C" w:rsidRDefault="00440DD7" w:rsidP="0057634B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 xml:space="preserve">Para </w:t>
      </w:r>
      <w:r w:rsidR="00AF347E" w:rsidRPr="0093114C">
        <w:rPr>
          <w:sz w:val="28"/>
          <w:szCs w:val="32"/>
        </w:rPr>
        <w:t xml:space="preserve">ello, </w:t>
      </w:r>
      <w:r w:rsidRPr="0093114C">
        <w:rPr>
          <w:sz w:val="28"/>
          <w:szCs w:val="32"/>
        </w:rPr>
        <w:t>el proyecto aborda actuaciones enmarcadas en tres líneas estratégicas</w:t>
      </w:r>
      <w:r w:rsidR="0057634B" w:rsidRPr="0093114C">
        <w:rPr>
          <w:sz w:val="28"/>
          <w:szCs w:val="32"/>
        </w:rPr>
        <w:t>, como es, en primer lugar, la relacionada con la i</w:t>
      </w:r>
      <w:r w:rsidRPr="0093114C">
        <w:rPr>
          <w:sz w:val="28"/>
          <w:szCs w:val="32"/>
        </w:rPr>
        <w:t xml:space="preserve">nvestigación e Innovación </w:t>
      </w:r>
      <w:r w:rsidR="0057634B" w:rsidRPr="0093114C">
        <w:rPr>
          <w:sz w:val="28"/>
          <w:szCs w:val="32"/>
        </w:rPr>
        <w:t>d</w:t>
      </w:r>
      <w:r w:rsidRPr="0093114C">
        <w:rPr>
          <w:sz w:val="28"/>
          <w:szCs w:val="32"/>
        </w:rPr>
        <w:t>e</w:t>
      </w:r>
      <w:r w:rsidR="0057634B" w:rsidRPr="0093114C">
        <w:rPr>
          <w:sz w:val="28"/>
          <w:szCs w:val="32"/>
        </w:rPr>
        <w:t>l s</w:t>
      </w:r>
      <w:r w:rsidRPr="0093114C">
        <w:rPr>
          <w:sz w:val="28"/>
          <w:szCs w:val="32"/>
        </w:rPr>
        <w:t>ector logístico</w:t>
      </w:r>
      <w:r w:rsidR="0057634B" w:rsidRPr="0093114C">
        <w:rPr>
          <w:sz w:val="28"/>
          <w:szCs w:val="32"/>
        </w:rPr>
        <w:t xml:space="preserve">, </w:t>
      </w:r>
      <w:r w:rsidRPr="0093114C">
        <w:rPr>
          <w:sz w:val="28"/>
          <w:szCs w:val="32"/>
        </w:rPr>
        <w:t>clave para el desarrollo del área de cooperación</w:t>
      </w:r>
      <w:r w:rsidR="0057634B" w:rsidRPr="0093114C">
        <w:rPr>
          <w:sz w:val="28"/>
          <w:szCs w:val="32"/>
        </w:rPr>
        <w:t xml:space="preserve">, mediante la eliminación de </w:t>
      </w:r>
      <w:r w:rsidRPr="0093114C">
        <w:rPr>
          <w:sz w:val="28"/>
          <w:szCs w:val="32"/>
        </w:rPr>
        <w:t xml:space="preserve"> barreras</w:t>
      </w:r>
      <w:r w:rsidR="0057634B" w:rsidRPr="0093114C">
        <w:rPr>
          <w:sz w:val="28"/>
          <w:szCs w:val="32"/>
        </w:rPr>
        <w:t xml:space="preserve"> y la potenciación de </w:t>
      </w:r>
      <w:r w:rsidRPr="0093114C">
        <w:rPr>
          <w:sz w:val="28"/>
          <w:szCs w:val="32"/>
        </w:rPr>
        <w:t>nuevas actividades económicas</w:t>
      </w:r>
      <w:r w:rsidR="0057634B" w:rsidRPr="0093114C">
        <w:rPr>
          <w:sz w:val="28"/>
          <w:szCs w:val="32"/>
        </w:rPr>
        <w:t>.</w:t>
      </w:r>
    </w:p>
    <w:p w:rsidR="0057634B" w:rsidRPr="0093114C" w:rsidRDefault="0057634B" w:rsidP="0057634B">
      <w:pPr>
        <w:spacing w:line="240" w:lineRule="auto"/>
        <w:rPr>
          <w:sz w:val="28"/>
          <w:szCs w:val="32"/>
        </w:rPr>
      </w:pPr>
    </w:p>
    <w:p w:rsidR="00FF3091" w:rsidRDefault="0057634B" w:rsidP="00440DD7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>En segundo lugar, FOCOMAR</w:t>
      </w:r>
      <w:r w:rsidR="00FF3091" w:rsidRPr="0093114C">
        <w:rPr>
          <w:sz w:val="28"/>
          <w:szCs w:val="32"/>
        </w:rPr>
        <w:t xml:space="preserve"> actuará en favor del d</w:t>
      </w:r>
      <w:r w:rsidR="00440DD7" w:rsidRPr="0093114C">
        <w:rPr>
          <w:sz w:val="28"/>
          <w:szCs w:val="32"/>
        </w:rPr>
        <w:t>esarrollo empresarial innovador</w:t>
      </w:r>
      <w:r w:rsidR="00FF3091" w:rsidRPr="0093114C">
        <w:rPr>
          <w:sz w:val="28"/>
          <w:szCs w:val="32"/>
        </w:rPr>
        <w:t xml:space="preserve">, </w:t>
      </w:r>
      <w:r w:rsidR="00440DD7" w:rsidRPr="0093114C">
        <w:rPr>
          <w:sz w:val="28"/>
          <w:szCs w:val="32"/>
        </w:rPr>
        <w:t>dota</w:t>
      </w:r>
      <w:r w:rsidR="00FF3091" w:rsidRPr="0093114C">
        <w:rPr>
          <w:sz w:val="28"/>
          <w:szCs w:val="32"/>
        </w:rPr>
        <w:t xml:space="preserve">ndo </w:t>
      </w:r>
      <w:r w:rsidR="00440DD7" w:rsidRPr="0093114C">
        <w:rPr>
          <w:sz w:val="28"/>
          <w:szCs w:val="32"/>
        </w:rPr>
        <w:t>a las empresas de las tres regiones de los instrumentos tecnológicos y de innovación que</w:t>
      </w:r>
      <w:r w:rsidR="00FF3091" w:rsidRPr="0093114C">
        <w:rPr>
          <w:sz w:val="28"/>
          <w:szCs w:val="32"/>
        </w:rPr>
        <w:t xml:space="preserve"> la hagan más competitivas a nivel internacional. Una ventaja es su situación estratégica, enclavadas en medio de las </w:t>
      </w:r>
      <w:r w:rsidR="00440DD7" w:rsidRPr="0093114C">
        <w:rPr>
          <w:sz w:val="28"/>
          <w:szCs w:val="32"/>
        </w:rPr>
        <w:t>rutas marítimas que concentran el mayor volumen de transporte de mercancías</w:t>
      </w:r>
      <w:r w:rsidR="00FF3091" w:rsidRPr="0093114C">
        <w:rPr>
          <w:sz w:val="28"/>
          <w:szCs w:val="32"/>
        </w:rPr>
        <w:t>.</w:t>
      </w:r>
    </w:p>
    <w:p w:rsidR="0093114C" w:rsidRDefault="0093114C" w:rsidP="00440DD7">
      <w:pPr>
        <w:spacing w:line="240" w:lineRule="auto"/>
        <w:rPr>
          <w:sz w:val="28"/>
          <w:szCs w:val="32"/>
        </w:rPr>
      </w:pPr>
    </w:p>
    <w:p w:rsidR="0093114C" w:rsidRDefault="0093114C" w:rsidP="00440DD7">
      <w:pPr>
        <w:spacing w:line="240" w:lineRule="auto"/>
        <w:rPr>
          <w:sz w:val="28"/>
          <w:szCs w:val="32"/>
        </w:rPr>
      </w:pPr>
    </w:p>
    <w:p w:rsidR="0093114C" w:rsidRDefault="0093114C" w:rsidP="00440DD7">
      <w:pPr>
        <w:spacing w:line="240" w:lineRule="auto"/>
        <w:rPr>
          <w:sz w:val="28"/>
          <w:szCs w:val="32"/>
        </w:rPr>
      </w:pPr>
    </w:p>
    <w:p w:rsidR="0093114C" w:rsidRPr="0093114C" w:rsidRDefault="0093114C" w:rsidP="00440DD7">
      <w:pPr>
        <w:spacing w:line="240" w:lineRule="auto"/>
        <w:rPr>
          <w:sz w:val="28"/>
          <w:szCs w:val="32"/>
        </w:rPr>
      </w:pPr>
    </w:p>
    <w:p w:rsidR="002C7242" w:rsidRPr="0093114C" w:rsidRDefault="002C7242" w:rsidP="00440DD7">
      <w:pPr>
        <w:spacing w:line="240" w:lineRule="auto"/>
        <w:rPr>
          <w:sz w:val="28"/>
          <w:szCs w:val="32"/>
        </w:rPr>
      </w:pPr>
    </w:p>
    <w:p w:rsidR="00FF3091" w:rsidRPr="0093114C" w:rsidRDefault="00FF3091" w:rsidP="00440DD7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 xml:space="preserve">Finalmente, el proyecto </w:t>
      </w:r>
      <w:r w:rsidR="002C7242" w:rsidRPr="0093114C">
        <w:rPr>
          <w:sz w:val="28"/>
          <w:szCs w:val="32"/>
        </w:rPr>
        <w:t xml:space="preserve">abundará en </w:t>
      </w:r>
      <w:r w:rsidRPr="0093114C">
        <w:rPr>
          <w:sz w:val="28"/>
          <w:szCs w:val="32"/>
        </w:rPr>
        <w:t xml:space="preserve">la aplicación </w:t>
      </w:r>
      <w:r w:rsidR="00440DD7" w:rsidRPr="0093114C">
        <w:rPr>
          <w:sz w:val="28"/>
          <w:szCs w:val="32"/>
        </w:rPr>
        <w:t>de nuevos modelos empresariales para las pymes</w:t>
      </w:r>
      <w:r w:rsidR="002C7242" w:rsidRPr="0093114C">
        <w:rPr>
          <w:sz w:val="28"/>
          <w:szCs w:val="32"/>
        </w:rPr>
        <w:t xml:space="preserve"> al objeto de </w:t>
      </w:r>
      <w:r w:rsidR="00440DD7" w:rsidRPr="0093114C">
        <w:rPr>
          <w:sz w:val="28"/>
          <w:szCs w:val="32"/>
        </w:rPr>
        <w:t>mejora</w:t>
      </w:r>
      <w:r w:rsidR="002C7242" w:rsidRPr="0093114C">
        <w:rPr>
          <w:sz w:val="28"/>
          <w:szCs w:val="32"/>
        </w:rPr>
        <w:t>r</w:t>
      </w:r>
      <w:r w:rsidR="00440DD7" w:rsidRPr="0093114C">
        <w:rPr>
          <w:sz w:val="28"/>
          <w:szCs w:val="32"/>
        </w:rPr>
        <w:t xml:space="preserve"> su competitividad a través de la internacionalización</w:t>
      </w:r>
      <w:r w:rsidRPr="0093114C">
        <w:rPr>
          <w:sz w:val="28"/>
          <w:szCs w:val="32"/>
        </w:rPr>
        <w:t>, vital para el despegue de estas regiones y su posicionamiento en los principales mercados,</w:t>
      </w:r>
      <w:r w:rsidR="002C7242" w:rsidRPr="0093114C">
        <w:rPr>
          <w:sz w:val="28"/>
          <w:szCs w:val="32"/>
        </w:rPr>
        <w:t xml:space="preserve"> además de intentar </w:t>
      </w:r>
      <w:r w:rsidRPr="0093114C">
        <w:rPr>
          <w:sz w:val="28"/>
          <w:szCs w:val="32"/>
        </w:rPr>
        <w:t>alivia</w:t>
      </w:r>
      <w:r w:rsidR="002C7242" w:rsidRPr="0093114C">
        <w:rPr>
          <w:sz w:val="28"/>
          <w:szCs w:val="32"/>
        </w:rPr>
        <w:t>r</w:t>
      </w:r>
      <w:r w:rsidRPr="0093114C">
        <w:rPr>
          <w:sz w:val="28"/>
          <w:szCs w:val="32"/>
        </w:rPr>
        <w:t xml:space="preserve"> sus </w:t>
      </w:r>
      <w:r w:rsidR="00440DD7" w:rsidRPr="0093114C">
        <w:rPr>
          <w:sz w:val="28"/>
          <w:szCs w:val="32"/>
        </w:rPr>
        <w:t xml:space="preserve">costes de producción y </w:t>
      </w:r>
      <w:r w:rsidR="005F59B1" w:rsidRPr="0093114C">
        <w:rPr>
          <w:sz w:val="28"/>
          <w:szCs w:val="32"/>
        </w:rPr>
        <w:t xml:space="preserve">de fomentar la </w:t>
      </w:r>
      <w:r w:rsidRPr="0093114C">
        <w:rPr>
          <w:sz w:val="28"/>
          <w:szCs w:val="32"/>
        </w:rPr>
        <w:t>aplica</w:t>
      </w:r>
      <w:r w:rsidR="005F59B1" w:rsidRPr="0093114C">
        <w:rPr>
          <w:sz w:val="28"/>
          <w:szCs w:val="32"/>
        </w:rPr>
        <w:t xml:space="preserve">ción de </w:t>
      </w:r>
      <w:r w:rsidRPr="0093114C">
        <w:rPr>
          <w:sz w:val="28"/>
          <w:szCs w:val="32"/>
        </w:rPr>
        <w:t>modelos más sostenibles.</w:t>
      </w:r>
    </w:p>
    <w:p w:rsidR="00FF3091" w:rsidRPr="0093114C" w:rsidRDefault="00FF3091" w:rsidP="00440DD7">
      <w:pPr>
        <w:spacing w:line="240" w:lineRule="auto"/>
        <w:rPr>
          <w:sz w:val="28"/>
          <w:szCs w:val="32"/>
        </w:rPr>
      </w:pPr>
    </w:p>
    <w:p w:rsidR="00FC1602" w:rsidRPr="0093114C" w:rsidRDefault="00440DD7" w:rsidP="00440DD7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>Durante la reunión celebrada en la sede del Consejo Andaluz de Cámaras, se han cerrado acuerdos de gran relevancia</w:t>
      </w:r>
      <w:r w:rsidR="00FF3091" w:rsidRPr="0093114C">
        <w:rPr>
          <w:sz w:val="28"/>
          <w:szCs w:val="32"/>
        </w:rPr>
        <w:t>,</w:t>
      </w:r>
      <w:r w:rsidRPr="0093114C">
        <w:rPr>
          <w:sz w:val="28"/>
          <w:szCs w:val="32"/>
        </w:rPr>
        <w:t xml:space="preserve"> entre los que destacan la atribución de actividades por socios. </w:t>
      </w:r>
      <w:r w:rsidR="00FF3091" w:rsidRPr="0093114C">
        <w:rPr>
          <w:sz w:val="28"/>
          <w:szCs w:val="32"/>
        </w:rPr>
        <w:t xml:space="preserve">Así, </w:t>
      </w:r>
      <w:r w:rsidRPr="0093114C">
        <w:rPr>
          <w:sz w:val="28"/>
          <w:szCs w:val="32"/>
        </w:rPr>
        <w:t xml:space="preserve">FOCOMAR prevé 6 </w:t>
      </w:r>
      <w:r w:rsidR="00FC1602" w:rsidRPr="0093114C">
        <w:rPr>
          <w:sz w:val="28"/>
          <w:szCs w:val="32"/>
        </w:rPr>
        <w:t>a</w:t>
      </w:r>
      <w:r w:rsidRPr="0093114C">
        <w:rPr>
          <w:sz w:val="28"/>
          <w:szCs w:val="32"/>
        </w:rPr>
        <w:t>ctividades</w:t>
      </w:r>
      <w:r w:rsidR="00FC1602" w:rsidRPr="0093114C">
        <w:rPr>
          <w:sz w:val="28"/>
          <w:szCs w:val="32"/>
        </w:rPr>
        <w:t>:</w:t>
      </w:r>
    </w:p>
    <w:p w:rsidR="00FC1602" w:rsidRPr="0093114C" w:rsidRDefault="00FC1602" w:rsidP="00440DD7">
      <w:pPr>
        <w:spacing w:line="240" w:lineRule="auto"/>
        <w:rPr>
          <w:sz w:val="28"/>
          <w:szCs w:val="32"/>
        </w:rPr>
      </w:pPr>
    </w:p>
    <w:p w:rsidR="00FC1602" w:rsidRPr="0093114C" w:rsidRDefault="00FC1602" w:rsidP="00440DD7">
      <w:pPr>
        <w:spacing w:line="240" w:lineRule="auto"/>
        <w:rPr>
          <w:sz w:val="28"/>
          <w:szCs w:val="32"/>
        </w:rPr>
      </w:pPr>
    </w:p>
    <w:p w:rsidR="00440DD7" w:rsidRPr="0093114C" w:rsidRDefault="00440DD7" w:rsidP="00440DD7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>-</w:t>
      </w:r>
      <w:r w:rsidRPr="0093114C">
        <w:rPr>
          <w:sz w:val="28"/>
          <w:szCs w:val="32"/>
        </w:rPr>
        <w:tab/>
        <w:t>Actividad 1. Análisis de las necesidades logísticas de las pymes y de las oportunidades que el transporte marítimo y los espacios portuarios ofrecen a las empresas.</w:t>
      </w:r>
    </w:p>
    <w:p w:rsidR="00440DD7" w:rsidRPr="0093114C" w:rsidRDefault="00440DD7" w:rsidP="00440DD7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>-</w:t>
      </w:r>
      <w:r w:rsidRPr="0093114C">
        <w:rPr>
          <w:sz w:val="28"/>
          <w:szCs w:val="32"/>
        </w:rPr>
        <w:tab/>
        <w:t xml:space="preserve">Actividad 2 Buenas prácticas logísticas y de gestión de la cadena de suministro como medidas clave para mejorar la competitividad de las </w:t>
      </w:r>
      <w:r w:rsidR="00F376AA" w:rsidRPr="0093114C">
        <w:rPr>
          <w:sz w:val="28"/>
          <w:szCs w:val="32"/>
        </w:rPr>
        <w:t>pymes</w:t>
      </w:r>
      <w:r w:rsidRPr="0093114C">
        <w:rPr>
          <w:sz w:val="28"/>
          <w:szCs w:val="32"/>
        </w:rPr>
        <w:t>.</w:t>
      </w:r>
    </w:p>
    <w:p w:rsidR="00440DD7" w:rsidRPr="0093114C" w:rsidRDefault="00440DD7" w:rsidP="00440DD7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>-</w:t>
      </w:r>
      <w:r w:rsidRPr="0093114C">
        <w:rPr>
          <w:sz w:val="28"/>
          <w:szCs w:val="32"/>
        </w:rPr>
        <w:tab/>
        <w:t xml:space="preserve">Actividad 3. Fomento del transporte marítimo de mercancías </w:t>
      </w:r>
      <w:proofErr w:type="spellStart"/>
      <w:r w:rsidRPr="0093114C">
        <w:rPr>
          <w:sz w:val="28"/>
          <w:szCs w:val="32"/>
        </w:rPr>
        <w:t>import-export</w:t>
      </w:r>
      <w:proofErr w:type="spellEnd"/>
      <w:r w:rsidRPr="0093114C">
        <w:rPr>
          <w:sz w:val="28"/>
          <w:szCs w:val="32"/>
        </w:rPr>
        <w:t>.</w:t>
      </w:r>
    </w:p>
    <w:p w:rsidR="00440DD7" w:rsidRPr="0093114C" w:rsidRDefault="00440DD7" w:rsidP="00440DD7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>-</w:t>
      </w:r>
      <w:r w:rsidRPr="0093114C">
        <w:rPr>
          <w:sz w:val="28"/>
          <w:szCs w:val="32"/>
        </w:rPr>
        <w:tab/>
        <w:t>Actividad 4: Proyecto piloto de implantación de empresas en los espacios portuarios.</w:t>
      </w:r>
    </w:p>
    <w:p w:rsidR="00440DD7" w:rsidRPr="0093114C" w:rsidRDefault="00440DD7" w:rsidP="00440DD7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>-</w:t>
      </w:r>
      <w:r w:rsidRPr="0093114C">
        <w:rPr>
          <w:sz w:val="28"/>
          <w:szCs w:val="32"/>
        </w:rPr>
        <w:tab/>
        <w:t>Actividad 5: Gestión y Coordinación</w:t>
      </w:r>
    </w:p>
    <w:p w:rsidR="00440DD7" w:rsidRPr="0093114C" w:rsidRDefault="00440DD7" w:rsidP="00440DD7">
      <w:pPr>
        <w:spacing w:line="240" w:lineRule="auto"/>
        <w:rPr>
          <w:sz w:val="28"/>
          <w:szCs w:val="32"/>
        </w:rPr>
      </w:pPr>
      <w:r w:rsidRPr="0093114C">
        <w:rPr>
          <w:sz w:val="28"/>
          <w:szCs w:val="32"/>
        </w:rPr>
        <w:t>-</w:t>
      </w:r>
      <w:r w:rsidRPr="0093114C">
        <w:rPr>
          <w:sz w:val="28"/>
          <w:szCs w:val="32"/>
        </w:rPr>
        <w:tab/>
        <w:t>Actividad 6: Comunicación</w:t>
      </w:r>
    </w:p>
    <w:p w:rsidR="00801A0B" w:rsidRPr="0093114C" w:rsidRDefault="00801A0B" w:rsidP="00440DD7">
      <w:pPr>
        <w:spacing w:line="240" w:lineRule="auto"/>
        <w:rPr>
          <w:sz w:val="18"/>
        </w:rPr>
      </w:pPr>
    </w:p>
    <w:sectPr w:rsidR="00801A0B" w:rsidRPr="0093114C">
      <w:headerReference w:type="default" r:id="rId8"/>
      <w:footerReference w:type="default" r:id="rId9"/>
      <w:pgSz w:w="11900" w:h="16840"/>
      <w:pgMar w:top="1417" w:right="1701" w:bottom="1417" w:left="1701" w:header="709" w:footer="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48" w:rsidRDefault="00262C48">
      <w:pPr>
        <w:spacing w:line="240" w:lineRule="auto"/>
      </w:pPr>
      <w:r>
        <w:separator/>
      </w:r>
    </w:p>
  </w:endnote>
  <w:endnote w:type="continuationSeparator" w:id="0">
    <w:p w:rsidR="00262C48" w:rsidRDefault="00262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3"/>
      <w:gridCol w:w="7855"/>
    </w:tblGrid>
    <w:tr w:rsidR="00F15C5B">
      <w:tc>
        <w:tcPr>
          <w:tcW w:w="500" w:type="pct"/>
          <w:tcBorders>
            <w:top w:val="single" w:sz="4" w:space="0" w:color="528F2A" w:themeColor="accent2" w:themeShade="BF"/>
          </w:tcBorders>
          <w:shd w:val="clear" w:color="auto" w:fill="528F2A" w:themeFill="accent2" w:themeFillShade="BF"/>
        </w:tcPr>
        <w:p w:rsidR="00F15C5B" w:rsidRDefault="00F15C5B">
          <w:pPr>
            <w:pStyle w:val="Piedepgina"/>
            <w:jc w:val="right"/>
            <w:rPr>
              <w:b/>
              <w:bCs/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>PAGE   \* MERGEFORMAT</w:instrText>
          </w:r>
          <w:r>
            <w:rPr>
              <w:color w:val="auto"/>
            </w:rPr>
            <w:fldChar w:fldCharType="separate"/>
          </w:r>
          <w:r w:rsidR="004A627A" w:rsidRPr="004A627A">
            <w:rPr>
              <w:noProof/>
              <w:color w:val="FFFFFF" w:themeColor="background1"/>
              <w:lang w:val="es-ES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F15C5B" w:rsidRDefault="00F15C5B" w:rsidP="00F15C5B">
          <w:pPr>
            <w:pStyle w:val="Piedepgina"/>
            <w:spacing w:line="240" w:lineRule="auto"/>
          </w:pPr>
          <w:r>
            <w:t>Gabinete de Comunicación del Consejo Andaluz de Cámaras</w:t>
          </w:r>
        </w:p>
        <w:p w:rsidR="00F15C5B" w:rsidRDefault="00F15C5B" w:rsidP="00F15C5B">
          <w:pPr>
            <w:pStyle w:val="Piedepgina"/>
            <w:spacing w:line="240" w:lineRule="auto"/>
          </w:pPr>
          <w:r>
            <w:t>C/ Santo Tomás, 13. 41004, Sevilla. Tel. 954 501 303  Móvil: 649 262013</w:t>
          </w:r>
        </w:p>
        <w:p w:rsidR="00F15C5B" w:rsidRDefault="00F15C5B" w:rsidP="00F15C5B">
          <w:pPr>
            <w:pStyle w:val="Piedepgina"/>
            <w:spacing w:line="240" w:lineRule="auto"/>
          </w:pPr>
          <w:r>
            <w:t xml:space="preserve">tcardenas@camarasandalucia.org  </w:t>
          </w:r>
        </w:p>
        <w:p w:rsidR="00F15C5B" w:rsidRDefault="00F15C5B" w:rsidP="00F15C5B">
          <w:pPr>
            <w:pStyle w:val="Piedepgina"/>
            <w:spacing w:line="240" w:lineRule="auto"/>
          </w:pPr>
          <w:r>
            <w:t>www.camarasandalucia.org</w:t>
          </w:r>
        </w:p>
      </w:tc>
    </w:tr>
  </w:tbl>
  <w:p w:rsidR="00801A0B" w:rsidRDefault="00801A0B">
    <w:pPr>
      <w:pStyle w:val="Piedepgina"/>
      <w:tabs>
        <w:tab w:val="clear" w:pos="8504"/>
        <w:tab w:val="right" w:pos="8478"/>
      </w:tabs>
      <w:spacing w:line="240" w:lineRule="auto"/>
      <w:jc w:val="center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48" w:rsidRDefault="00262C48">
      <w:pPr>
        <w:spacing w:line="240" w:lineRule="auto"/>
      </w:pPr>
      <w:r>
        <w:separator/>
      </w:r>
    </w:p>
  </w:footnote>
  <w:footnote w:type="continuationSeparator" w:id="0">
    <w:p w:rsidR="00262C48" w:rsidRDefault="00262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0B" w:rsidRDefault="008F33AD">
    <w:pPr>
      <w:pStyle w:val="Encabezado"/>
      <w:tabs>
        <w:tab w:val="clear" w:pos="8504"/>
        <w:tab w:val="right" w:pos="8478"/>
      </w:tabs>
      <w:jc w:val="center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F758F46" wp14:editId="1C065895">
          <wp:simplePos x="0" y="0"/>
          <wp:positionH relativeFrom="column">
            <wp:posOffset>4330065</wp:posOffset>
          </wp:positionH>
          <wp:positionV relativeFrom="paragraph">
            <wp:posOffset>-183515</wp:posOffset>
          </wp:positionV>
          <wp:extent cx="1809750" cy="514350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uevo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514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A395C03" wp14:editId="658BCE48">
          <wp:simplePos x="0" y="0"/>
          <wp:positionH relativeFrom="column">
            <wp:posOffset>-727710</wp:posOffset>
          </wp:positionH>
          <wp:positionV relativeFrom="paragraph">
            <wp:posOffset>-182880</wp:posOffset>
          </wp:positionV>
          <wp:extent cx="2048510" cy="694690"/>
          <wp:effectExtent l="0" t="0" r="889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231C3"/>
    <w:multiLevelType w:val="hybridMultilevel"/>
    <w:tmpl w:val="F9FE39F8"/>
    <w:lvl w:ilvl="0" w:tplc="D64E006E"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6933745"/>
    <w:multiLevelType w:val="hybridMultilevel"/>
    <w:tmpl w:val="AFCA6C3A"/>
    <w:lvl w:ilvl="0" w:tplc="F6BC10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1A0B"/>
    <w:rsid w:val="000C00DD"/>
    <w:rsid w:val="002628DC"/>
    <w:rsid w:val="00262C48"/>
    <w:rsid w:val="002C14A0"/>
    <w:rsid w:val="002C4418"/>
    <w:rsid w:val="002C7242"/>
    <w:rsid w:val="003432B9"/>
    <w:rsid w:val="003546B7"/>
    <w:rsid w:val="003B7E3A"/>
    <w:rsid w:val="003C7D37"/>
    <w:rsid w:val="00415290"/>
    <w:rsid w:val="00440DD7"/>
    <w:rsid w:val="004A627A"/>
    <w:rsid w:val="0057634B"/>
    <w:rsid w:val="005F59B1"/>
    <w:rsid w:val="006A7171"/>
    <w:rsid w:val="00741932"/>
    <w:rsid w:val="00791F59"/>
    <w:rsid w:val="007C40A8"/>
    <w:rsid w:val="007D66C9"/>
    <w:rsid w:val="00801A0B"/>
    <w:rsid w:val="008F33AD"/>
    <w:rsid w:val="0093114C"/>
    <w:rsid w:val="00A12742"/>
    <w:rsid w:val="00A62B11"/>
    <w:rsid w:val="00AF347E"/>
    <w:rsid w:val="00C34342"/>
    <w:rsid w:val="00C61397"/>
    <w:rsid w:val="00D212F5"/>
    <w:rsid w:val="00E26ED1"/>
    <w:rsid w:val="00F15C5B"/>
    <w:rsid w:val="00F27786"/>
    <w:rsid w:val="00F376AA"/>
    <w:rsid w:val="00FC1602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360" w:lineRule="auto"/>
      <w:jc w:val="both"/>
    </w:pPr>
    <w:rPr>
      <w:rFonts w:ascii="Arial" w:eastAsia="Arial" w:hAnsi="Arial" w:cs="Arial"/>
      <w:color w:val="000000"/>
      <w:u w:color="00000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uiPriority w:val="99"/>
    <w:pPr>
      <w:tabs>
        <w:tab w:val="center" w:pos="4252"/>
        <w:tab w:val="right" w:pos="8504"/>
      </w:tabs>
      <w:spacing w:line="360" w:lineRule="auto"/>
      <w:jc w:val="both"/>
    </w:pPr>
    <w:rPr>
      <w:rFonts w:ascii="Arial" w:hAnsi="Arial Unicode MS" w:cs="Arial Unicode MS"/>
      <w:color w:val="000000"/>
      <w:u w:color="000000"/>
    </w:rPr>
  </w:style>
  <w:style w:type="paragraph" w:styleId="Sinespaciado">
    <w:name w:val="No Spacing"/>
    <w:link w:val="SinespaciadoCar"/>
    <w:uiPriority w:val="1"/>
    <w:qFormat/>
    <w:pPr>
      <w:spacing w:line="360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edepgina">
    <w:name w:val="footer"/>
    <w:link w:val="PiedepginaCar"/>
    <w:uiPriority w:val="99"/>
    <w:pPr>
      <w:tabs>
        <w:tab w:val="center" w:pos="4252"/>
        <w:tab w:val="right" w:pos="8504"/>
      </w:tabs>
      <w:spacing w:line="360" w:lineRule="auto"/>
      <w:jc w:val="both"/>
    </w:pPr>
    <w:rPr>
      <w:rFonts w:ascii="Arial" w:eastAsia="Arial" w:hAnsi="Arial" w:cs="Arial"/>
      <w:color w:val="000000"/>
      <w:u w:color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3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397"/>
    <w:rPr>
      <w:rFonts w:ascii="Tahoma" w:eastAsia="Arial" w:hAnsi="Tahoma" w:cs="Tahoma"/>
      <w:color w:val="000000"/>
      <w:sz w:val="16"/>
      <w:szCs w:val="16"/>
      <w:u w:color="000000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397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EncabezadoCar">
    <w:name w:val="Encabezado Car"/>
    <w:basedOn w:val="Fuentedeprrafopredeter"/>
    <w:link w:val="Encabezado"/>
    <w:uiPriority w:val="99"/>
    <w:rsid w:val="00C61397"/>
    <w:rPr>
      <w:rFonts w:ascii="Arial" w:hAnsi="Arial Unicode MS" w:cs="Arial Unicode MS"/>
      <w:color w:val="000000"/>
      <w:u w:color="00000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5C5B"/>
    <w:rPr>
      <w:rFonts w:ascii="Arial" w:eastAsia="Arial" w:hAnsi="Arial" w:cs="Arial"/>
      <w:color w:val="000000"/>
      <w:u w:color="000000"/>
    </w:rPr>
  </w:style>
  <w:style w:type="paragraph" w:styleId="Prrafodelista">
    <w:name w:val="List Paragraph"/>
    <w:basedOn w:val="Normal"/>
    <w:uiPriority w:val="34"/>
    <w:qFormat/>
    <w:rsid w:val="00F277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360" w:lineRule="auto"/>
      <w:jc w:val="both"/>
    </w:pPr>
    <w:rPr>
      <w:rFonts w:ascii="Arial" w:eastAsia="Arial" w:hAnsi="Arial" w:cs="Arial"/>
      <w:color w:val="000000"/>
      <w:u w:color="00000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uiPriority w:val="99"/>
    <w:pPr>
      <w:tabs>
        <w:tab w:val="center" w:pos="4252"/>
        <w:tab w:val="right" w:pos="8504"/>
      </w:tabs>
      <w:spacing w:line="360" w:lineRule="auto"/>
      <w:jc w:val="both"/>
    </w:pPr>
    <w:rPr>
      <w:rFonts w:ascii="Arial" w:hAnsi="Arial Unicode MS" w:cs="Arial Unicode MS"/>
      <w:color w:val="000000"/>
      <w:u w:color="000000"/>
    </w:rPr>
  </w:style>
  <w:style w:type="paragraph" w:styleId="Sinespaciado">
    <w:name w:val="No Spacing"/>
    <w:link w:val="SinespaciadoCar"/>
    <w:uiPriority w:val="1"/>
    <w:qFormat/>
    <w:pPr>
      <w:spacing w:line="360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edepgina">
    <w:name w:val="footer"/>
    <w:link w:val="PiedepginaCar"/>
    <w:uiPriority w:val="99"/>
    <w:pPr>
      <w:tabs>
        <w:tab w:val="center" w:pos="4252"/>
        <w:tab w:val="right" w:pos="8504"/>
      </w:tabs>
      <w:spacing w:line="360" w:lineRule="auto"/>
      <w:jc w:val="both"/>
    </w:pPr>
    <w:rPr>
      <w:rFonts w:ascii="Arial" w:eastAsia="Arial" w:hAnsi="Arial" w:cs="Arial"/>
      <w:color w:val="000000"/>
      <w:u w:color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3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397"/>
    <w:rPr>
      <w:rFonts w:ascii="Tahoma" w:eastAsia="Arial" w:hAnsi="Tahoma" w:cs="Tahoma"/>
      <w:color w:val="000000"/>
      <w:sz w:val="16"/>
      <w:szCs w:val="16"/>
      <w:u w:color="000000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397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EncabezadoCar">
    <w:name w:val="Encabezado Car"/>
    <w:basedOn w:val="Fuentedeprrafopredeter"/>
    <w:link w:val="Encabezado"/>
    <w:uiPriority w:val="99"/>
    <w:rsid w:val="00C61397"/>
    <w:rPr>
      <w:rFonts w:ascii="Arial" w:hAnsi="Arial Unicode MS" w:cs="Arial Unicode MS"/>
      <w:color w:val="000000"/>
      <w:u w:color="00000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5C5B"/>
    <w:rPr>
      <w:rFonts w:ascii="Arial" w:eastAsia="Arial" w:hAnsi="Arial" w:cs="Arial"/>
      <w:color w:val="000000"/>
      <w:u w:color="000000"/>
    </w:rPr>
  </w:style>
  <w:style w:type="paragraph" w:styleId="Prrafodelista">
    <w:name w:val="List Paragraph"/>
    <w:basedOn w:val="Normal"/>
    <w:uiPriority w:val="34"/>
    <w:qFormat/>
    <w:rsid w:val="00F2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4958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Cardenas</dc:creator>
  <cp:lastModifiedBy>Teresa Cardenas</cp:lastModifiedBy>
  <cp:revision>5</cp:revision>
  <dcterms:created xsi:type="dcterms:W3CDTF">2017-10-25T14:31:00Z</dcterms:created>
  <dcterms:modified xsi:type="dcterms:W3CDTF">2017-10-26T09:48:00Z</dcterms:modified>
</cp:coreProperties>
</file>